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9A" w:rsidRPr="008A1111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8A1111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 w:rsidRPr="000C5EA5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-</w:t>
      </w:r>
      <w:r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Индивидуальный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982812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Стэйблфорд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/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Individual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Stableford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</w:p>
    <w:p w:rsidR="000C5EA5" w:rsidRPr="00DB3C05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категория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Men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vertAlign w:val="superscript"/>
          <w:lang w:eastAsia="ru-RU"/>
        </w:rPr>
        <w:t>st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category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8A1111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),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старт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белых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»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/ white tees start</w:t>
      </w:r>
    </w:p>
    <w:p w:rsidR="000C5EA5" w:rsidRPr="00DB3C05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категория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2 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Men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2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vertAlign w:val="superscript"/>
          <w:lang w:eastAsia="ru-RU"/>
        </w:rPr>
        <w:t>nd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vertAlign w:val="superscript"/>
          <w:lang w:eastAsia="ru-RU"/>
        </w:rPr>
        <w:t xml:space="preserve">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category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8A1111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18,1 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-</w:t>
      </w:r>
      <w:r w:rsidR="008A1111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36),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старт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желтых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»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/ yellow tees start</w:t>
      </w:r>
    </w:p>
    <w:p w:rsidR="000C5EA5" w:rsidRPr="00357022" w:rsidRDefault="000C5EA5" w:rsidP="008A1111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Женщины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Lady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8A1111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36),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старт</w:t>
      </w:r>
      <w:r w:rsidR="008A1111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="008A1111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красных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»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red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tees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start</w:t>
      </w:r>
    </w:p>
    <w:p w:rsidR="008A1111" w:rsidRPr="00357022" w:rsidRDefault="008A1111" w:rsidP="008A1111">
      <w:pPr>
        <w:pStyle w:val="aa"/>
        <w:spacing w:line="360" w:lineRule="auto"/>
        <w:ind w:left="436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4C612A" w:rsidRDefault="00560B77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4C612A" w:rsidRDefault="00C03348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4C612A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4C612A" w:rsidRDefault="004C612A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Гольф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кары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предоставляются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только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при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наличии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действующего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медицинского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с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видетельства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/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G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olf 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carts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only permitted on provision of valid medical certificate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4C612A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FB4D42" w:rsidRPr="004C612A" w:rsidRDefault="00FB4D42" w:rsidP="00FB4D42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4C612A" w:rsidRPr="004C120D" w:rsidRDefault="005A0436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</w:t>
      </w:r>
      <w:r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– 36.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: 36.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Поочередный</w:t>
      </w:r>
      <w:r w:rsidR="000C5EA5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тарт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ой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и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10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ой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Лунок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11:0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0 / </w:t>
      </w:r>
      <w:r w:rsid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S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tart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from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</w:t>
      </w:r>
      <w:r w:rsidR="008A1111"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vertAlign w:val="superscript"/>
          <w:lang w:eastAsia="ru-RU"/>
        </w:rPr>
        <w:t>st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and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10</w:t>
      </w:r>
      <w:r w:rsidR="008A1111"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vertAlign w:val="superscript"/>
          <w:lang w:eastAsia="ru-RU"/>
        </w:rPr>
        <w:t>th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Tee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at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11:0</w:t>
      </w:r>
      <w:r w:rsidR="000C5EA5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0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am</w:t>
      </w:r>
      <w:r w:rsidR="004C612A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.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 случае неподтвержденного игрового у</w:t>
      </w:r>
      <w:bookmarkStart w:id="0" w:name="_GoBack"/>
      <w:bookmarkEnd w:id="0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ровня Администрация вправе применить защитные меры.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8C" w:rsidRPr="00D42370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FA5AE7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Регистрационный взнос: </w:t>
      </w:r>
    </w:p>
    <w:p w:rsidR="00357022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</w:t>
      </w:r>
      <w:r w:rsidR="000C5EA5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Завидово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PGA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National</w:t>
      </w:r>
      <w:r w:rsidR="008A1111" w:rsidRP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, </w:t>
      </w:r>
      <w:r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МГГК (д</w:t>
      </w:r>
      <w:r w:rsid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ержатели карт альянса клубов)</w:t>
      </w:r>
      <w:r w:rsidRP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, </w:t>
      </w:r>
      <w:r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ТФГ</w:t>
      </w:r>
      <w:r w:rsidRP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FA5AE7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– </w:t>
      </w:r>
      <w:r w:rsid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4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000 руб.</w:t>
      </w:r>
      <w:r w:rsidR="00FA5AE7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; </w:t>
      </w:r>
    </w:p>
    <w:p w:rsidR="000C5EA5" w:rsidRPr="00FB1252" w:rsidRDefault="000C5EA5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Завидово </w:t>
      </w:r>
      <w:r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PGA</w:t>
      </w:r>
      <w:r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 </w:t>
      </w:r>
      <w:r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National</w:t>
      </w:r>
      <w:r w:rsidR="008000CA" w:rsidRPr="008000CA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, </w:t>
      </w:r>
      <w:r w:rsidR="008000CA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МГГК (держатели карт альянса клубов)</w:t>
      </w:r>
      <w:r w:rsidR="008000CA" w:rsidRPr="008000CA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, </w:t>
      </w:r>
      <w:r w:rsidR="008000CA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НЕ</w:t>
      </w:r>
      <w:r w:rsidR="008000CA" w:rsidRP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8000CA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</w:t>
      </w:r>
      <w:r w:rsid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ТФГ</w:t>
      </w:r>
      <w:r w:rsidR="008000CA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 – 5 </w:t>
      </w:r>
      <w:r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500 руб.;</w:t>
      </w:r>
    </w:p>
    <w:p w:rsidR="00357022" w:rsidRDefault="00D6073E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Гости Клуба</w:t>
      </w:r>
      <w:r w:rsidRPr="00D6073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, </w:t>
      </w:r>
      <w:r w:rsid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Члены ТФГ –</w:t>
      </w:r>
      <w:r w:rsidRPr="00D6073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9 000 руб.; </w:t>
      </w:r>
    </w:p>
    <w:p w:rsidR="00357022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Гости Клуба</w:t>
      </w:r>
      <w:r w:rsidR="00D6073E" w:rsidRPr="00D6073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, </w:t>
      </w:r>
      <w:r w:rsidR="00D6073E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НЕ</w:t>
      </w:r>
      <w:r w:rsidR="00D6073E" w:rsidRP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D6073E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</w:t>
      </w:r>
      <w:r w:rsidR="00D6073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ТФГ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– 12</w:t>
      </w:r>
      <w:r w:rsidR="00FA5AE7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 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000 руб.</w:t>
      </w:r>
      <w:r w:rsidRP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; </w:t>
      </w:r>
    </w:p>
    <w:p w:rsidR="00FA5AE7" w:rsidRPr="00357022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Юниоры – 50% от объявленного тарифа</w:t>
      </w:r>
      <w:r w:rsidR="00D6073E" w:rsidRPr="00D6073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.</w:t>
      </w:r>
    </w:p>
    <w:p w:rsidR="00DB3C05" w:rsidRPr="00DB3C05" w:rsidRDefault="00DB3C05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Регистрационный взнос оплачивается наличными и идет на поддержку ТФГ</w:t>
      </w:r>
      <w:r w:rsidRPr="00DB3C05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,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чья деятельность направлена на развитие и популяризацию детского и юношеского гольфа в регионе.</w:t>
      </w:r>
    </w:p>
    <w:p w:rsidR="00D6073E" w:rsidRPr="00D6073E" w:rsidRDefault="00D6073E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</w:p>
    <w:p w:rsidR="00FA5AE7" w:rsidRPr="00AF5D1D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</w:t>
      </w:r>
      <w:r w:rsidR="000C5EA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ТФГ 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Завидово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для заявок, поступивших ранее других</w:t>
      </w:r>
    </w:p>
    <w:p w:rsidR="00FB29DB" w:rsidRPr="00FB29DB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D42370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FB29DB" w:rsidRPr="00357022" w:rsidRDefault="00FB29DB" w:rsidP="00357022">
      <w:pPr>
        <w:ind w:left="-284"/>
        <w:textAlignment w:val="top"/>
        <w:rPr>
          <w:rFonts w:ascii="Arial" w:hAnsi="Arial" w:cs="Arial"/>
          <w:color w:val="7F7F7F" w:themeColor="text1" w:themeTint="80"/>
          <w:sz w:val="22"/>
          <w:szCs w:val="22"/>
          <w:lang w:val="ru-RU"/>
        </w:rPr>
      </w:pPr>
    </w:p>
    <w:sectPr w:rsidR="00FB29DB" w:rsidRPr="00357022" w:rsidSect="00250811">
      <w:headerReference w:type="default" r:id="rId9"/>
      <w:footerReference w:type="default" r:id="rId10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1F" w:rsidRDefault="00FC661F" w:rsidP="004560DA">
      <w:r>
        <w:separator/>
      </w:r>
    </w:p>
  </w:endnote>
  <w:endnote w:type="continuationSeparator" w:id="0">
    <w:p w:rsidR="00FC661F" w:rsidRDefault="00FC661F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2673847</wp:posOffset>
          </wp:positionH>
          <wp:positionV relativeFrom="paragraph">
            <wp:posOffset>170815</wp:posOffset>
          </wp:positionV>
          <wp:extent cx="450972" cy="421640"/>
          <wp:effectExtent l="0" t="0" r="0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97" cy="42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1F" w:rsidRDefault="00FC661F" w:rsidP="004560DA">
      <w:r>
        <w:separator/>
      </w:r>
    </w:p>
  </w:footnote>
  <w:footnote w:type="continuationSeparator" w:id="0">
    <w:p w:rsidR="00FC661F" w:rsidRDefault="00FC661F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A5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noProof/>
        <w:color w:val="365F91" w:themeColor="accent1" w:themeShade="BF"/>
        <w:sz w:val="20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5081270</wp:posOffset>
          </wp:positionH>
          <wp:positionV relativeFrom="paragraph">
            <wp:posOffset>-165735</wp:posOffset>
          </wp:positionV>
          <wp:extent cx="1485900" cy="1219200"/>
          <wp:effectExtent l="1905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Тверская Федерация Гольфа</w:t>
    </w:r>
  </w:p>
  <w:p w:rsidR="006F1CD6" w:rsidRPr="000C5EA5" w:rsidRDefault="006F1CD6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Гольф-клуб Завидово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PGA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National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, Россия</w:t>
    </w:r>
  </w:p>
  <w:p w:rsidR="00C03348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II</w:t>
    </w:r>
    <w:r w:rsidR="008A1111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</w:t>
    </w:r>
    <w:r w:rsidR="00A92150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Кубок Тверской Области</w:t>
    </w:r>
  </w:p>
  <w:p w:rsidR="00C03348" w:rsidRPr="00357022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357022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8A111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12</w:t>
    </w:r>
    <w:r w:rsidR="00D6073E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го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августа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201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6</w:t>
    </w:r>
    <w:r w:rsidR="008A111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7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г.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0C5EA5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August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, </w:t>
    </w:r>
    <w:r w:rsidR="008A111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12</w:t>
    </w:r>
    <w:r w:rsidR="00D6073E" w:rsidRPr="00D6073E">
      <w:rPr>
        <w:rFonts w:ascii="Arial" w:eastAsia="Times New Roman" w:hAnsi="Arial" w:cs="Arial"/>
        <w:b/>
        <w:color w:val="7F7F7F" w:themeColor="text1" w:themeTint="80"/>
        <w:sz w:val="20"/>
        <w:vertAlign w:val="superscript"/>
        <w:lang w:eastAsia="ru-RU"/>
      </w:rPr>
      <w:t>th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 201</w:t>
    </w:r>
    <w:r w:rsidR="008A111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7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8A1111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12:00 11</w:t>
    </w:r>
    <w:r w:rsidR="00D6073E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го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августа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8A1111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12:00 </w:t>
    </w:r>
    <w:r w:rsidR="00D6073E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of </w:t>
    </w:r>
    <w:r w:rsidR="008A1111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11</w:t>
    </w:r>
    <w:r w:rsidR="00D6073E" w:rsidRPr="00D6073E">
      <w:rPr>
        <w:rFonts w:ascii="Arial" w:eastAsia="Times New Roman" w:hAnsi="Arial" w:cs="Arial"/>
        <w:b/>
        <w:color w:val="FF0000"/>
        <w:sz w:val="18"/>
        <w:szCs w:val="28"/>
        <w:vertAlign w:val="superscript"/>
        <w:lang w:eastAsia="ru-RU"/>
      </w:rPr>
      <w:t>th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August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6250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67766"/>
    <w:rsid w:val="00287854"/>
    <w:rsid w:val="002A792D"/>
    <w:rsid w:val="002C2D3A"/>
    <w:rsid w:val="002C6A2E"/>
    <w:rsid w:val="002D0744"/>
    <w:rsid w:val="002F48F9"/>
    <w:rsid w:val="00313577"/>
    <w:rsid w:val="00324E3D"/>
    <w:rsid w:val="00327705"/>
    <w:rsid w:val="00333096"/>
    <w:rsid w:val="00357022"/>
    <w:rsid w:val="0039150E"/>
    <w:rsid w:val="003C74D7"/>
    <w:rsid w:val="00402D26"/>
    <w:rsid w:val="004560DA"/>
    <w:rsid w:val="00464A50"/>
    <w:rsid w:val="004759BC"/>
    <w:rsid w:val="004C120D"/>
    <w:rsid w:val="004C458C"/>
    <w:rsid w:val="004C612A"/>
    <w:rsid w:val="004D0E6E"/>
    <w:rsid w:val="004E10E1"/>
    <w:rsid w:val="004F3BB8"/>
    <w:rsid w:val="00525B6B"/>
    <w:rsid w:val="005364CD"/>
    <w:rsid w:val="00537CD4"/>
    <w:rsid w:val="00560B77"/>
    <w:rsid w:val="005A0436"/>
    <w:rsid w:val="005B0277"/>
    <w:rsid w:val="005B2DFB"/>
    <w:rsid w:val="005D6C8E"/>
    <w:rsid w:val="005F7DF4"/>
    <w:rsid w:val="006240C6"/>
    <w:rsid w:val="00625C3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87DB8"/>
    <w:rsid w:val="0079169B"/>
    <w:rsid w:val="007961CD"/>
    <w:rsid w:val="007B44BD"/>
    <w:rsid w:val="007D7DF0"/>
    <w:rsid w:val="008000CA"/>
    <w:rsid w:val="00821194"/>
    <w:rsid w:val="00837E14"/>
    <w:rsid w:val="008509CB"/>
    <w:rsid w:val="008540A9"/>
    <w:rsid w:val="0088056F"/>
    <w:rsid w:val="00880A9A"/>
    <w:rsid w:val="0088472F"/>
    <w:rsid w:val="0089041D"/>
    <w:rsid w:val="00893201"/>
    <w:rsid w:val="008A1111"/>
    <w:rsid w:val="008C3795"/>
    <w:rsid w:val="008C7B91"/>
    <w:rsid w:val="008E7A30"/>
    <w:rsid w:val="00910677"/>
    <w:rsid w:val="00930F3A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6073E"/>
    <w:rsid w:val="00D96E1C"/>
    <w:rsid w:val="00DA65ED"/>
    <w:rsid w:val="00DB3C05"/>
    <w:rsid w:val="00DC4A10"/>
    <w:rsid w:val="00DD48C4"/>
    <w:rsid w:val="00DE55E3"/>
    <w:rsid w:val="00E25EFF"/>
    <w:rsid w:val="00E26AB3"/>
    <w:rsid w:val="00E75C87"/>
    <w:rsid w:val="00E86C09"/>
    <w:rsid w:val="00EA7E88"/>
    <w:rsid w:val="00EB0828"/>
    <w:rsid w:val="00EC042A"/>
    <w:rsid w:val="00ED29EA"/>
    <w:rsid w:val="00F0050F"/>
    <w:rsid w:val="00F1100A"/>
    <w:rsid w:val="00F76FF0"/>
    <w:rsid w:val="00F902EC"/>
    <w:rsid w:val="00FA13E2"/>
    <w:rsid w:val="00FA5AE7"/>
    <w:rsid w:val="00FB1252"/>
    <w:rsid w:val="00FB29DB"/>
    <w:rsid w:val="00FB4D42"/>
    <w:rsid w:val="00FC01CA"/>
    <w:rsid w:val="00FC661F"/>
    <w:rsid w:val="00FE0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392F98-2696-4D52-8F49-FD1DB40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73E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E92A-F7A4-4403-A7B5-CB5F1131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4</cp:revision>
  <cp:lastPrinted>2015-07-11T14:40:00Z</cp:lastPrinted>
  <dcterms:created xsi:type="dcterms:W3CDTF">2017-08-02T13:51:00Z</dcterms:created>
  <dcterms:modified xsi:type="dcterms:W3CDTF">2017-08-02T15:12:00Z</dcterms:modified>
</cp:coreProperties>
</file>